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E162B9" w:rsidRDefault="00E162B9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_GoBack"/>
      <w:bookmarkEnd w:id="0"/>
    </w:p>
    <w:p w:rsidR="00E162B9" w:rsidRPr="00504CA7" w:rsidRDefault="00E162B9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711756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.2021                                      </w:t>
      </w:r>
      <w:r w:rsidR="001D75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36</w:t>
      </w:r>
    </w:p>
    <w:p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 xml:space="preserve">Об утверждении </w:t>
      </w:r>
      <w:r w:rsidR="00462893">
        <w:rPr>
          <w:color w:val="auto"/>
        </w:rPr>
        <w:t xml:space="preserve">Порядка </w:t>
      </w:r>
      <w:r w:rsidR="006A156E">
        <w:rPr>
          <w:color w:val="auto"/>
        </w:rPr>
        <w:t xml:space="preserve">оценки </w:t>
      </w:r>
      <w:r w:rsidR="00462893">
        <w:rPr>
          <w:color w:val="auto"/>
        </w:rPr>
        <w:t xml:space="preserve">результативности и эффективности муниципального земельного контроля </w:t>
      </w:r>
      <w:r w:rsidR="00411514">
        <w:rPr>
          <w:color w:val="auto"/>
        </w:rPr>
        <w:t>на территории</w:t>
      </w:r>
      <w:r w:rsidR="00602F10">
        <w:rPr>
          <w:color w:val="auto"/>
        </w:rPr>
        <w:br/>
      </w:r>
      <w:r w:rsidR="00462893">
        <w:rPr>
          <w:color w:val="auto"/>
        </w:rPr>
        <w:t>муниципально</w:t>
      </w:r>
      <w:r w:rsidR="00411514">
        <w:rPr>
          <w:color w:val="auto"/>
        </w:rPr>
        <w:t xml:space="preserve">го </w:t>
      </w:r>
      <w:r w:rsidR="00462893">
        <w:rPr>
          <w:color w:val="auto"/>
        </w:rPr>
        <w:t>образовани</w:t>
      </w:r>
      <w:r w:rsidR="00411514">
        <w:rPr>
          <w:color w:val="auto"/>
        </w:rPr>
        <w:t>я</w:t>
      </w:r>
      <w:r w:rsidR="00602F10">
        <w:rPr>
          <w:color w:val="auto"/>
        </w:rPr>
        <w:t xml:space="preserve"> </w:t>
      </w:r>
      <w:r w:rsidRPr="00504CA7">
        <w:rPr>
          <w:color w:val="auto"/>
        </w:rPr>
        <w:t>«Подгорнское сельское поселение»</w:t>
      </w:r>
      <w:r w:rsidR="00462893">
        <w:rPr>
          <w:color w:val="auto"/>
        </w:rPr>
        <w:br/>
        <w:t xml:space="preserve"> и </w:t>
      </w:r>
      <w:r w:rsidR="001D4224">
        <w:rPr>
          <w:color w:val="auto"/>
        </w:rPr>
        <w:t>П</w:t>
      </w:r>
      <w:r w:rsidR="00462893">
        <w:rPr>
          <w:color w:val="auto"/>
        </w:rPr>
        <w:t>еречн</w:t>
      </w:r>
      <w:r w:rsidR="00411514">
        <w:rPr>
          <w:color w:val="auto"/>
        </w:rPr>
        <w:t>я</w:t>
      </w:r>
      <w:r w:rsidR="00462893">
        <w:rPr>
          <w:color w:val="auto"/>
        </w:rPr>
        <w:t xml:space="preserve"> показателей результативности и эффективности</w:t>
      </w:r>
      <w:r w:rsidR="00462893">
        <w:rPr>
          <w:color w:val="auto"/>
        </w:rPr>
        <w:br/>
        <w:t xml:space="preserve">муниципального земельного </w:t>
      </w:r>
      <w:r w:rsidR="00286CAE">
        <w:rPr>
          <w:color w:val="auto"/>
        </w:rPr>
        <w:t>контроля</w:t>
      </w:r>
    </w:p>
    <w:p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A7">
        <w:rPr>
          <w:rFonts w:ascii="Times New Roman" w:hAnsi="Times New Roman" w:cs="Times New Roman"/>
          <w:sz w:val="24"/>
          <w:szCs w:val="20"/>
        </w:rPr>
        <w:t xml:space="preserve">В соответствии с </w:t>
      </w:r>
      <w:r w:rsidR="00A8416A">
        <w:rPr>
          <w:rFonts w:ascii="Times New Roman" w:hAnsi="Times New Roman" w:cs="Times New Roman"/>
          <w:sz w:val="24"/>
          <w:szCs w:val="20"/>
        </w:rPr>
        <w:t>Р</w:t>
      </w:r>
      <w:r w:rsidR="008B3383">
        <w:rPr>
          <w:rFonts w:ascii="Times New Roman" w:hAnsi="Times New Roman" w:cs="Times New Roman"/>
          <w:sz w:val="24"/>
          <w:szCs w:val="24"/>
        </w:rPr>
        <w:t>аспоряжение</w:t>
      </w:r>
      <w:r w:rsidR="00A8416A">
        <w:rPr>
          <w:rFonts w:ascii="Times New Roman" w:hAnsi="Times New Roman" w:cs="Times New Roman"/>
          <w:sz w:val="24"/>
          <w:szCs w:val="24"/>
        </w:rPr>
        <w:t>м</w:t>
      </w:r>
      <w:r w:rsidR="008B33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17.05.2016 № 934-р «Об утверждении основных направлений и внедрения системы оценки результативности и эффективности контрольно-надзорной деятельности»,</w:t>
      </w:r>
      <w:r w:rsidR="00E30436">
        <w:rPr>
          <w:rFonts w:ascii="Times New Roman" w:hAnsi="Times New Roman" w:cs="Times New Roman"/>
          <w:sz w:val="24"/>
          <w:szCs w:val="24"/>
        </w:rPr>
        <w:t xml:space="preserve"> Положением о виде муниципального земельного контроля на территории муниципального образования «Подгорнское сельское поселение», утвержденным Советом Подгорнского сельского поселения от 25.06.2021 № 15</w:t>
      </w:r>
      <w:r w:rsidR="009174AA">
        <w:rPr>
          <w:rFonts w:ascii="Times New Roman" w:hAnsi="Times New Roman" w:cs="Times New Roman"/>
          <w:sz w:val="24"/>
          <w:szCs w:val="24"/>
        </w:rPr>
        <w:t xml:space="preserve"> </w:t>
      </w:r>
      <w:r w:rsidRPr="00504CA7">
        <w:rPr>
          <w:rFonts w:ascii="Times New Roman" w:hAnsi="Times New Roman" w:cs="Times New Roman"/>
          <w:sz w:val="24"/>
          <w:szCs w:val="24"/>
        </w:rPr>
        <w:t>и Уставом муниципального образования «Подгорнское сельское поселение»</w:t>
      </w:r>
    </w:p>
    <w:p w:rsidR="005A50F3" w:rsidRDefault="005A50F3" w:rsidP="0054752A">
      <w:pPr>
        <w:pStyle w:val="Default"/>
        <w:jc w:val="both"/>
        <w:outlineLvl w:val="0"/>
      </w:pPr>
    </w:p>
    <w:p w:rsidR="0054752A" w:rsidRPr="00504CA7" w:rsidRDefault="0054752A" w:rsidP="0054752A">
      <w:pPr>
        <w:pStyle w:val="Default"/>
        <w:jc w:val="both"/>
        <w:outlineLvl w:val="0"/>
      </w:pPr>
    </w:p>
    <w:p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54752A" w:rsidRPr="00504CA7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8B3383" w:rsidRDefault="005A50F3" w:rsidP="001D0D24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 w:rsidRPr="00504CA7">
        <w:rPr>
          <w:color w:val="auto"/>
        </w:rPr>
        <w:t xml:space="preserve">Утвердить </w:t>
      </w:r>
      <w:r w:rsidR="008B3383">
        <w:rPr>
          <w:color w:val="auto"/>
        </w:rPr>
        <w:t>Порядок</w:t>
      </w:r>
      <w:r w:rsidR="006A156E">
        <w:rPr>
          <w:color w:val="auto"/>
        </w:rPr>
        <w:t xml:space="preserve"> </w:t>
      </w:r>
      <w:r w:rsidR="001D0D24">
        <w:rPr>
          <w:color w:val="auto"/>
        </w:rPr>
        <w:t xml:space="preserve">оценки результативности и эффективности муниципального земельного контроля на территории муниципального образования </w:t>
      </w:r>
      <w:r w:rsidR="001D0D24" w:rsidRPr="00504CA7">
        <w:rPr>
          <w:color w:val="auto"/>
        </w:rPr>
        <w:t>«Подгорнское сельское поселение»</w:t>
      </w:r>
      <w:r w:rsidRPr="00504CA7">
        <w:rPr>
          <w:color w:val="auto"/>
        </w:rPr>
        <w:t xml:space="preserve"> согласно приложени</w:t>
      </w:r>
      <w:r>
        <w:rPr>
          <w:color w:val="auto"/>
        </w:rPr>
        <w:t>ю</w:t>
      </w:r>
      <w:r w:rsidR="001D0D24">
        <w:rPr>
          <w:color w:val="auto"/>
        </w:rPr>
        <w:t xml:space="preserve"> № 1 </w:t>
      </w:r>
      <w:r w:rsidRPr="00504CA7">
        <w:rPr>
          <w:color w:val="auto"/>
        </w:rPr>
        <w:t>к настоящему решению.</w:t>
      </w:r>
    </w:p>
    <w:p w:rsidR="001D0D24" w:rsidRDefault="001D0D24" w:rsidP="001D0D24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color w:val="auto"/>
        </w:rPr>
        <w:t>Утвердить Перечень показателей результативности и эффективности муниципального земельного контроля согласно приложению № 2 к настоящему решению.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2.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A50F3" w:rsidRPr="00504CA7" w:rsidRDefault="00A0228B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 Решение вступает в силу </w:t>
      </w:r>
      <w:r w:rsidR="00DB65C3">
        <w:rPr>
          <w:color w:val="auto"/>
        </w:rPr>
        <w:t>со дня его официального опубликования</w:t>
      </w:r>
      <w:r w:rsidR="005A50F3" w:rsidRPr="00504CA7">
        <w:rPr>
          <w:color w:val="auto"/>
        </w:rPr>
        <w:t>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 xml:space="preserve">4. Контроль за исполнением настоящего решения </w:t>
      </w:r>
      <w:r w:rsidR="00A0228B">
        <w:rPr>
          <w:color w:val="auto"/>
        </w:rPr>
        <w:t>возложить на контрольно-правовой комитет Совета Подгорнского сельского поселения.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      </w:t>
      </w:r>
      <w:r w:rsidRPr="00504CA7">
        <w:rPr>
          <w:color w:val="auto"/>
        </w:rPr>
        <w:tab/>
        <w:t xml:space="preserve">             Л.А. </w:t>
      </w:r>
      <w:proofErr w:type="spellStart"/>
      <w:r w:rsidRPr="00504CA7">
        <w:rPr>
          <w:color w:val="auto"/>
        </w:rPr>
        <w:t>Кванина</w:t>
      </w:r>
      <w:proofErr w:type="spellEnd"/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      </w:t>
      </w:r>
      <w:r w:rsidR="00381B1F">
        <w:rPr>
          <w:color w:val="auto"/>
        </w:rPr>
        <w:t>А.Н. Кондратенко</w:t>
      </w:r>
    </w:p>
    <w:p w:rsidR="005A50F3" w:rsidRDefault="005A50F3" w:rsidP="0054752A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54752A" w:rsidRDefault="00547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E162B9" w:rsidRPr="001E59BC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 1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E162B9" w:rsidRPr="001E59BC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E162B9" w:rsidRPr="001E59BC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.12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36</w:t>
      </w:r>
    </w:p>
    <w:p w:rsidR="00ED557E" w:rsidRDefault="00ED557E" w:rsidP="00951F9F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C07" w:rsidRPr="001E59BC" w:rsidRDefault="00035C07" w:rsidP="00951F9F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27DA" w:rsidRPr="001E59BC" w:rsidRDefault="009F27DA" w:rsidP="00E403E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DA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6A156E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Pr="009F27DA">
        <w:rPr>
          <w:rFonts w:ascii="Times New Roman" w:hAnsi="Times New Roman" w:cs="Times New Roman"/>
          <w:b/>
          <w:sz w:val="28"/>
          <w:szCs w:val="28"/>
        </w:rPr>
        <w:t xml:space="preserve"> результативности и эффективности муниципального земельного контроля </w:t>
      </w:r>
      <w:r w:rsidR="0079325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403ED">
        <w:rPr>
          <w:rFonts w:ascii="Times New Roman" w:hAnsi="Times New Roman" w:cs="Times New Roman"/>
          <w:b/>
          <w:sz w:val="28"/>
          <w:szCs w:val="28"/>
        </w:rPr>
        <w:br/>
      </w:r>
      <w:r w:rsidRPr="009F27D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79325F">
        <w:rPr>
          <w:rFonts w:ascii="Times New Roman" w:hAnsi="Times New Roman" w:cs="Times New Roman"/>
          <w:b/>
          <w:sz w:val="28"/>
          <w:szCs w:val="28"/>
        </w:rPr>
        <w:t>го</w:t>
      </w:r>
      <w:r w:rsidRPr="009F27DA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9325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9F27DA">
        <w:rPr>
          <w:rFonts w:ascii="Times New Roman" w:hAnsi="Times New Roman" w:cs="Times New Roman"/>
          <w:b/>
          <w:sz w:val="28"/>
          <w:szCs w:val="28"/>
        </w:rPr>
        <w:t>«Подгорнское сельское поселение»</w:t>
      </w:r>
      <w:r w:rsidRPr="009F27DA">
        <w:rPr>
          <w:rFonts w:ascii="Times New Roman" w:hAnsi="Times New Roman" w:cs="Times New Roman"/>
          <w:b/>
          <w:sz w:val="28"/>
          <w:szCs w:val="28"/>
        </w:rPr>
        <w:br/>
      </w:r>
    </w:p>
    <w:p w:rsidR="00B57488" w:rsidRDefault="00D614C3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1. </w:t>
      </w:r>
      <w:r w:rsidR="00E51113">
        <w:rPr>
          <w:rFonts w:ascii="Times New Roman" w:hAnsi="Times New Roman" w:cs="Times New Roman"/>
          <w:sz w:val="24"/>
          <w:szCs w:val="24"/>
        </w:rPr>
        <w:t xml:space="preserve">Порядок оценки </w:t>
      </w:r>
      <w:r w:rsidR="006A156E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E51113">
        <w:rPr>
          <w:rFonts w:ascii="Times New Roman" w:hAnsi="Times New Roman" w:cs="Times New Roman"/>
          <w:sz w:val="24"/>
          <w:szCs w:val="24"/>
        </w:rPr>
        <w:t>и эффективности муниципального земельного контроля на территории муниципального образования «Подгорнское сельское поселение»</w:t>
      </w:r>
      <w:r w:rsidR="006A156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E51113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распоряжением Правительства Российской</w:t>
      </w:r>
      <w:r w:rsidR="006A156E">
        <w:rPr>
          <w:rFonts w:ascii="Times New Roman" w:hAnsi="Times New Roman" w:cs="Times New Roman"/>
          <w:sz w:val="24"/>
          <w:szCs w:val="24"/>
        </w:rPr>
        <w:t xml:space="preserve"> </w:t>
      </w:r>
      <w:r w:rsidR="00E51113">
        <w:rPr>
          <w:rFonts w:ascii="Times New Roman" w:hAnsi="Times New Roman" w:cs="Times New Roman"/>
          <w:sz w:val="24"/>
          <w:szCs w:val="24"/>
        </w:rPr>
        <w:t>Федерации от 17.05.2016 г.</w:t>
      </w:r>
      <w:r w:rsidR="006A156E">
        <w:rPr>
          <w:rFonts w:ascii="Times New Roman" w:hAnsi="Times New Roman" w:cs="Times New Roman"/>
          <w:sz w:val="24"/>
          <w:szCs w:val="24"/>
        </w:rPr>
        <w:t xml:space="preserve"> </w:t>
      </w:r>
      <w:r w:rsidR="00E51113">
        <w:rPr>
          <w:rFonts w:ascii="Times New Roman" w:hAnsi="Times New Roman" w:cs="Times New Roman"/>
          <w:sz w:val="24"/>
          <w:szCs w:val="24"/>
        </w:rPr>
        <w:t>№ 934-</w:t>
      </w:r>
      <w:r w:rsidR="005702CB">
        <w:rPr>
          <w:rFonts w:ascii="Times New Roman" w:hAnsi="Times New Roman" w:cs="Times New Roman"/>
          <w:sz w:val="24"/>
          <w:szCs w:val="24"/>
        </w:rPr>
        <w:t>р</w:t>
      </w:r>
      <w:r w:rsidR="00E51113">
        <w:rPr>
          <w:rFonts w:ascii="Times New Roman" w:hAnsi="Times New Roman" w:cs="Times New Roman"/>
          <w:sz w:val="24"/>
          <w:szCs w:val="24"/>
        </w:rPr>
        <w:t xml:space="preserve"> «Об утверждении основных направлений и внедрения системы оценки</w:t>
      </w:r>
      <w:r w:rsidR="00B57488">
        <w:rPr>
          <w:rFonts w:ascii="Times New Roman" w:hAnsi="Times New Roman" w:cs="Times New Roman"/>
          <w:sz w:val="24"/>
          <w:szCs w:val="24"/>
        </w:rPr>
        <w:t xml:space="preserve"> </w:t>
      </w:r>
      <w:r w:rsidR="00E51113">
        <w:rPr>
          <w:rFonts w:ascii="Times New Roman" w:hAnsi="Times New Roman" w:cs="Times New Roman"/>
          <w:sz w:val="24"/>
          <w:szCs w:val="24"/>
        </w:rPr>
        <w:t>результативности и эффективности ко</w:t>
      </w:r>
      <w:r w:rsidR="006A156E">
        <w:rPr>
          <w:rFonts w:ascii="Times New Roman" w:hAnsi="Times New Roman" w:cs="Times New Roman"/>
          <w:sz w:val="24"/>
          <w:szCs w:val="24"/>
        </w:rPr>
        <w:t>нтрольно-надзорной деятельности.</w:t>
      </w:r>
    </w:p>
    <w:p w:rsidR="0099122A" w:rsidRDefault="0094112F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B57488">
        <w:rPr>
          <w:rFonts w:ascii="Times New Roman" w:hAnsi="Times New Roman" w:cs="Times New Roman"/>
          <w:sz w:val="24"/>
          <w:szCs w:val="24"/>
        </w:rPr>
        <w:t xml:space="preserve">Порядок определяет правила оценки результативности и эффективности контрольной деятельности и контроля за достижением показателей результативности и эффективности работы </w:t>
      </w:r>
      <w:r w:rsidR="006A156E">
        <w:rPr>
          <w:rFonts w:ascii="Times New Roman" w:hAnsi="Times New Roman" w:cs="Times New Roman"/>
          <w:sz w:val="24"/>
          <w:szCs w:val="24"/>
        </w:rPr>
        <w:t>органа муниципального земельного контроля.</w:t>
      </w:r>
    </w:p>
    <w:p w:rsidR="00E868ED" w:rsidRDefault="00E868ED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оценки включает следующие понятия:</w:t>
      </w:r>
    </w:p>
    <w:p w:rsidR="00E868ED" w:rsidRDefault="00E868ED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014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результативность муниципального земельного контроля</w:t>
      </w:r>
      <w:r w:rsidR="009014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степень достижения общественно значимых результатов муниципального земельного контроля, выражающихся в минимизации причинения вреда (ущерба) охраняемым законом ценностям</w:t>
      </w:r>
      <w:r w:rsidR="00901418">
        <w:rPr>
          <w:rFonts w:ascii="Times New Roman" w:hAnsi="Times New Roman" w:cs="Times New Roman"/>
          <w:sz w:val="24"/>
          <w:szCs w:val="24"/>
        </w:rPr>
        <w:t>;</w:t>
      </w:r>
    </w:p>
    <w:p w:rsidR="00901418" w:rsidRDefault="00901418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«эффективность муниципального земельного контроля» - степень устранения риска причинения вреда охраняемым законом ценностям, а также уровня вмешательства </w:t>
      </w:r>
      <w:r w:rsidR="00DF35A1">
        <w:rPr>
          <w:rFonts w:ascii="Times New Roman" w:hAnsi="Times New Roman" w:cs="Times New Roman"/>
          <w:sz w:val="24"/>
          <w:szCs w:val="24"/>
        </w:rPr>
        <w:t>в деятельность граждан и организаций.</w:t>
      </w:r>
    </w:p>
    <w:p w:rsidR="00DF35A1" w:rsidRDefault="00DF35A1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75A4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контрольной деятельности состоят из ключевых (группа «А») и индикативных (группа «В») показателей.</w:t>
      </w:r>
    </w:p>
    <w:p w:rsidR="008C29D0" w:rsidRDefault="008C29D0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Показатели группы «А» являются ключевыми показателями результативности муниципального земельного контроля, отражающие уровень достижения общественно значимых результатов контрольной деятельности, по которым устанавливаются целевые значения, достижение которых должен обеспечить </w:t>
      </w:r>
      <w:r w:rsidR="00E403ED">
        <w:rPr>
          <w:rFonts w:ascii="Times New Roman" w:hAnsi="Times New Roman" w:cs="Times New Roman"/>
          <w:sz w:val="24"/>
          <w:szCs w:val="24"/>
        </w:rPr>
        <w:t>орган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9D0" w:rsidRDefault="008C29D0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Показатели группы «В» являются индикативными показателями, количественно характеризующие контрольную деятельность и применяемые для мониторинга, анализа работы </w:t>
      </w:r>
      <w:r w:rsidR="006A156E"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403ED">
        <w:rPr>
          <w:rFonts w:ascii="Times New Roman" w:hAnsi="Times New Roman" w:cs="Times New Roman"/>
          <w:sz w:val="24"/>
          <w:szCs w:val="24"/>
        </w:rPr>
        <w:t xml:space="preserve">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56E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9D0" w:rsidRDefault="008C29D0" w:rsidP="00F355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Показатели группы «В» подразделяются на следующие подгруппы:</w:t>
      </w:r>
    </w:p>
    <w:p w:rsidR="008C29D0" w:rsidRPr="008C29D0" w:rsidRDefault="008C29D0" w:rsidP="00F355CF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 xml:space="preserve">1) </w:t>
      </w:r>
      <w:r w:rsidRPr="008C29D0">
        <w:rPr>
          <w:color w:val="222222"/>
        </w:rPr>
        <w:t xml:space="preserve">"В.1" - индикативные показатели, характеризующие </w:t>
      </w:r>
      <w:r w:rsidR="00400B2F">
        <w:rPr>
          <w:color w:val="222222"/>
        </w:rPr>
        <w:t>параметры проведенных мероприятий</w:t>
      </w:r>
      <w:r w:rsidRPr="008C29D0">
        <w:rPr>
          <w:color w:val="222222"/>
        </w:rPr>
        <w:t>;</w:t>
      </w:r>
    </w:p>
    <w:p w:rsidR="008C29D0" w:rsidRPr="008C29D0" w:rsidRDefault="008C29D0" w:rsidP="00F355CF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 xml:space="preserve">2) </w:t>
      </w:r>
      <w:r w:rsidRPr="008C29D0">
        <w:rPr>
          <w:color w:val="222222"/>
        </w:rPr>
        <w:t xml:space="preserve">"В.2" - индикативные показатели, характеризующие </w:t>
      </w:r>
      <w:r w:rsidR="009C2509">
        <w:rPr>
          <w:color w:val="222222"/>
        </w:rPr>
        <w:t>объем задействованных ресурсов.</w:t>
      </w:r>
    </w:p>
    <w:p w:rsidR="00BE2330" w:rsidRDefault="00BE2330" w:rsidP="00BE23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t>8. Отчетным периодом для определения показателей является календарный год.</w:t>
      </w:r>
      <w:r w:rsidRPr="004B34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4B34D5">
        <w:rPr>
          <w:rFonts w:ascii="Times New Roman" w:hAnsi="Times New Roman"/>
          <w:sz w:val="24"/>
          <w:szCs w:val="24"/>
        </w:rPr>
        <w:t xml:space="preserve">9. Орган муниципального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4B34D5">
        <w:rPr>
          <w:rFonts w:ascii="Times New Roman" w:hAnsi="Times New Roman"/>
          <w:sz w:val="24"/>
          <w:szCs w:val="24"/>
        </w:rPr>
        <w:t xml:space="preserve">контроля ежегодно, в срок до 1 февраля года, следующего за отчетным годом, осуществляет расчет и оценку фактических (достигнутых) значений показателей, утвержденных в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4B34D5">
        <w:rPr>
          <w:rFonts w:ascii="Times New Roman" w:hAnsi="Times New Roman"/>
          <w:sz w:val="24"/>
          <w:szCs w:val="24"/>
        </w:rPr>
        <w:t xml:space="preserve"> 2 к настоящему </w:t>
      </w:r>
      <w:r w:rsidR="003C50A1">
        <w:rPr>
          <w:rFonts w:ascii="Times New Roman" w:hAnsi="Times New Roman"/>
          <w:sz w:val="24"/>
          <w:szCs w:val="24"/>
        </w:rPr>
        <w:t>решению</w:t>
      </w:r>
      <w:r w:rsidRPr="004B34D5">
        <w:rPr>
          <w:rFonts w:ascii="Times New Roman" w:hAnsi="Times New Roman"/>
          <w:sz w:val="24"/>
          <w:szCs w:val="24"/>
        </w:rPr>
        <w:t>.</w:t>
      </w:r>
      <w:r w:rsidRPr="004B34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4B34D5">
        <w:rPr>
          <w:rFonts w:ascii="Times New Roman" w:hAnsi="Times New Roman"/>
          <w:sz w:val="24"/>
          <w:szCs w:val="24"/>
        </w:rPr>
        <w:t>10. Оценка фактических (достигнутых) значений показателей производится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4D5">
        <w:rPr>
          <w:rFonts w:ascii="Times New Roman" w:hAnsi="Times New Roman"/>
          <w:sz w:val="24"/>
          <w:szCs w:val="24"/>
        </w:rPr>
        <w:t>сравнения с целевыми (индикативными) значениями показателей.</w:t>
      </w:r>
    </w:p>
    <w:p w:rsidR="00BE2330" w:rsidRDefault="00BE2330" w:rsidP="00BE23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t>11. Результаты оценки фактических (достигнутых) значений устанавливаются</w:t>
      </w:r>
      <w:r>
        <w:rPr>
          <w:rFonts w:ascii="Times New Roman" w:hAnsi="Times New Roman"/>
          <w:sz w:val="24"/>
          <w:szCs w:val="24"/>
        </w:rPr>
        <w:br/>
      </w:r>
      <w:r w:rsidRPr="004B34D5">
        <w:rPr>
          <w:rFonts w:ascii="Times New Roman" w:hAnsi="Times New Roman"/>
          <w:sz w:val="24"/>
          <w:szCs w:val="24"/>
        </w:rPr>
        <w:t>по 5-балльной шкале от 1 до 5 баллов, по целевым значениям показателей присваивают:</w:t>
      </w:r>
      <w:r w:rsidRPr="004B34D5">
        <w:rPr>
          <w:rFonts w:ascii="Times New Roman" w:hAnsi="Times New Roman"/>
          <w:sz w:val="24"/>
          <w:szCs w:val="24"/>
        </w:rPr>
        <w:br/>
      </w:r>
    </w:p>
    <w:p w:rsidR="00BE2330" w:rsidRDefault="00BE2330" w:rsidP="003C50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lastRenderedPageBreak/>
        <w:t>5 баллов - если фактическое значение равно целевому нормативному значению;</w:t>
      </w:r>
      <w:r w:rsidRPr="004B34D5">
        <w:rPr>
          <w:rFonts w:ascii="Times New Roman" w:hAnsi="Times New Roman"/>
          <w:sz w:val="24"/>
          <w:szCs w:val="24"/>
        </w:rPr>
        <w:br/>
      </w:r>
      <w:r w:rsidR="003C50A1">
        <w:rPr>
          <w:rFonts w:ascii="Times New Roman" w:hAnsi="Times New Roman"/>
          <w:sz w:val="24"/>
          <w:szCs w:val="24"/>
        </w:rPr>
        <w:t xml:space="preserve">            </w:t>
      </w:r>
      <w:r w:rsidRPr="004B34D5">
        <w:rPr>
          <w:rFonts w:ascii="Times New Roman" w:hAnsi="Times New Roman"/>
          <w:sz w:val="24"/>
          <w:szCs w:val="24"/>
        </w:rPr>
        <w:t xml:space="preserve">4 балла - если отклонение фактического значения </w:t>
      </w:r>
      <w:r w:rsidR="003C50A1">
        <w:rPr>
          <w:rFonts w:ascii="Times New Roman" w:hAnsi="Times New Roman"/>
          <w:sz w:val="24"/>
          <w:szCs w:val="24"/>
        </w:rPr>
        <w:t xml:space="preserve">от целевого значения составляет </w:t>
      </w:r>
      <w:r w:rsidRPr="004B34D5">
        <w:rPr>
          <w:rFonts w:ascii="Times New Roman" w:hAnsi="Times New Roman"/>
          <w:sz w:val="24"/>
          <w:szCs w:val="24"/>
        </w:rPr>
        <w:t>менее 10%;</w:t>
      </w:r>
    </w:p>
    <w:p w:rsidR="00BE2330" w:rsidRDefault="00BE2330" w:rsidP="003C50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t>3 балла - если отклонение фактического значения от целевого значения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4D5">
        <w:rPr>
          <w:rFonts w:ascii="Times New Roman" w:hAnsi="Times New Roman"/>
          <w:sz w:val="24"/>
          <w:szCs w:val="24"/>
        </w:rPr>
        <w:t>от 10%, но менее 30%;</w:t>
      </w:r>
    </w:p>
    <w:p w:rsidR="00BE2330" w:rsidRDefault="00BE2330" w:rsidP="003C50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t>2 балла - если отклонение фактического значения от целевого значения составляет от 30%, но менее 40%;</w:t>
      </w:r>
    </w:p>
    <w:p w:rsidR="008C29D0" w:rsidRDefault="00BE2330" w:rsidP="003C50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4D5">
        <w:rPr>
          <w:rFonts w:ascii="Times New Roman" w:hAnsi="Times New Roman"/>
          <w:sz w:val="24"/>
          <w:szCs w:val="24"/>
        </w:rPr>
        <w:t>1 балл - если отклонение фактического значения от целевого значения составляет от 40% и более.</w:t>
      </w: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A1" w:rsidRDefault="005760A1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AC" w:rsidRDefault="005878AC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2B9" w:rsidRPr="001E59BC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 2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E162B9" w:rsidRPr="001E59BC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E162B9" w:rsidRDefault="00E162B9" w:rsidP="00E162B9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23.12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36</w:t>
      </w:r>
    </w:p>
    <w:p w:rsidR="00E162B9" w:rsidRPr="00E162B9" w:rsidRDefault="00E162B9" w:rsidP="00E162B9">
      <w:pPr>
        <w:rPr>
          <w:lang w:eastAsia="ru-RU"/>
        </w:rPr>
      </w:pPr>
    </w:p>
    <w:p w:rsidR="00CB04CF" w:rsidRPr="006D04BC" w:rsidRDefault="006D04BC" w:rsidP="002058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4BC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 и эффективности муниципального земельного контроля на территории муниципального образования «Подгорнское сельское поселение»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16"/>
        <w:gridCol w:w="1169"/>
        <w:gridCol w:w="1745"/>
        <w:gridCol w:w="76"/>
        <w:gridCol w:w="1313"/>
        <w:gridCol w:w="1543"/>
      </w:tblGrid>
      <w:tr w:rsidR="00CB04CF" w:rsidRPr="00700DD9" w:rsidTr="000334EA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CF" w:rsidRPr="00700DD9" w:rsidRDefault="00CB04CF" w:rsidP="00205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Комментарии значений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B04CF" w:rsidRPr="00700DD9" w:rsidTr="00C832B4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C832B4" w:rsidRDefault="00CB04CF" w:rsidP="008D3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2B4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</w:tr>
      <w:tr w:rsidR="00CB04CF" w:rsidRPr="00700DD9" w:rsidTr="00C832B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используемых земельных участков в соответствии с правоустанавливающими документами (разрешенное использование)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Кипн</w:t>
            </w:r>
            <w:proofErr w:type="spellEnd"/>
          </w:p>
          <w:p w:rsidR="000334EA" w:rsidRDefault="000334EA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334EA" w:rsidRPr="00700DD9" w:rsidRDefault="000334EA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Кипн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700DD9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8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используемых по назначению (шт.)</w:t>
            </w:r>
          </w:p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Кпр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проверенных земельных участков (шт.)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033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А.2.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юридических лиц, индивидуальных предпринимателей</w:t>
            </w:r>
            <w:r w:rsidR="00C832B4">
              <w:rPr>
                <w:rFonts w:ascii="Times New Roman" w:hAnsi="Times New Roman"/>
                <w:sz w:val="24"/>
                <w:szCs w:val="24"/>
              </w:rPr>
              <w:t>,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граждан у которых были устранены нарушения, выявленные в ходе проверок, рейдовых осмотров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3DAA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Кун</w:t>
            </w:r>
          </w:p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х 100%/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Кун - количество </w:t>
            </w:r>
            <w:r w:rsidR="00A33DAA">
              <w:rPr>
                <w:rFonts w:ascii="Times New Roman" w:hAnsi="Times New Roman"/>
                <w:sz w:val="24"/>
                <w:szCs w:val="24"/>
              </w:rPr>
              <w:t>собственников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земельных участков, которые устранили нарушения земельного законодательства</w:t>
            </w:r>
          </w:p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r w:rsidR="00A33DAA">
              <w:rPr>
                <w:rFonts w:ascii="Times New Roman" w:hAnsi="Times New Roman"/>
                <w:sz w:val="24"/>
                <w:szCs w:val="24"/>
              </w:rPr>
              <w:t>собственников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земельных </w:t>
            </w:r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участков у которых были выявлены нарушения земельного законодательства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Не менее 50%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A3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C832B4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</w:p>
        </w:tc>
      </w:tr>
      <w:tr w:rsidR="00CB04CF" w:rsidRPr="00700DD9" w:rsidTr="00C832B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различные аспекты муниципального земельного контроля</w:t>
            </w:r>
          </w:p>
        </w:tc>
      </w:tr>
      <w:tr w:rsidR="00CB04CF" w:rsidRPr="00700DD9" w:rsidTr="00C832B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В.1.1.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Врз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РЗф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РЗп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>) x 100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Врз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РЗф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количество проведенных плановых (рейдовых) заданий (осмотров)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РЗп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В.1.2.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>) x 100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96CC5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Письма и жалобы, поступившие в администрацию </w:t>
            </w:r>
            <w:r w:rsidR="00896CC5">
              <w:rPr>
                <w:rFonts w:ascii="Times New Roman" w:hAnsi="Times New Roman"/>
                <w:sz w:val="24"/>
                <w:szCs w:val="24"/>
              </w:rPr>
              <w:t>Подгорнского сельского поселения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В.1.3.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Ж x 100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Ж - количество жалоб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В.1.4.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x 100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В.1.5.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По x 100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В.1.6.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проверок, в согласовании </w:t>
            </w:r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Кзо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Кпз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В.1.7.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Кнм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В.1.8.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C832B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В.2.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В.2.1.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CF" w:rsidRPr="00700DD9" w:rsidTr="000334E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В.2.2.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602F10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Нагрузка контрольных мероприятий на работник</w:t>
            </w:r>
            <w:r w:rsidR="00602F1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органа муниципального</w:t>
            </w:r>
            <w:r w:rsidR="00602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DD9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 xml:space="preserve">Км /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r w:rsidRPr="00700DD9">
              <w:rPr>
                <w:rFonts w:ascii="Times New Roman" w:hAnsi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DD9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 w:rsidRPr="00700DD9">
              <w:rPr>
                <w:rFonts w:ascii="Times New Roman" w:hAnsi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04CF" w:rsidRPr="00700DD9" w:rsidRDefault="00CB04CF" w:rsidP="008D3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8AC" w:rsidRDefault="005878AC" w:rsidP="002058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78AC" w:rsidSect="002058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B94BCA"/>
    <w:multiLevelType w:val="hybridMultilevel"/>
    <w:tmpl w:val="3206999C"/>
    <w:lvl w:ilvl="0" w:tplc="7B2A7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4EA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6995"/>
    <w:rsid w:val="001071FD"/>
    <w:rsid w:val="00107A3C"/>
    <w:rsid w:val="001160AE"/>
    <w:rsid w:val="001176BA"/>
    <w:rsid w:val="00117BE6"/>
    <w:rsid w:val="00117D64"/>
    <w:rsid w:val="00117E9C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0D24"/>
    <w:rsid w:val="001D4224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58DA"/>
    <w:rsid w:val="00210FAF"/>
    <w:rsid w:val="00212BFE"/>
    <w:rsid w:val="002136C8"/>
    <w:rsid w:val="00214511"/>
    <w:rsid w:val="00214F6A"/>
    <w:rsid w:val="002164FB"/>
    <w:rsid w:val="00224981"/>
    <w:rsid w:val="00225F3A"/>
    <w:rsid w:val="00227C8E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86CAE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17C9"/>
    <w:rsid w:val="00392E36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50A1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0B2F"/>
    <w:rsid w:val="004020E2"/>
    <w:rsid w:val="00402A86"/>
    <w:rsid w:val="00405F3E"/>
    <w:rsid w:val="00411514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2893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368D"/>
    <w:rsid w:val="004F1261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02CB"/>
    <w:rsid w:val="00572FC4"/>
    <w:rsid w:val="00574562"/>
    <w:rsid w:val="00574AAA"/>
    <w:rsid w:val="005760A1"/>
    <w:rsid w:val="00576425"/>
    <w:rsid w:val="00583253"/>
    <w:rsid w:val="005846EB"/>
    <w:rsid w:val="005878AC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2F10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7378"/>
    <w:rsid w:val="00680171"/>
    <w:rsid w:val="00680708"/>
    <w:rsid w:val="0068101C"/>
    <w:rsid w:val="00681EEE"/>
    <w:rsid w:val="00685712"/>
    <w:rsid w:val="00692F38"/>
    <w:rsid w:val="0069397E"/>
    <w:rsid w:val="006A156E"/>
    <w:rsid w:val="006A758D"/>
    <w:rsid w:val="006B59B3"/>
    <w:rsid w:val="006B6C9C"/>
    <w:rsid w:val="006C3238"/>
    <w:rsid w:val="006C64ED"/>
    <w:rsid w:val="006D04BC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1756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25F"/>
    <w:rsid w:val="0079344E"/>
    <w:rsid w:val="007945F6"/>
    <w:rsid w:val="007A0258"/>
    <w:rsid w:val="007B01DD"/>
    <w:rsid w:val="007B40FC"/>
    <w:rsid w:val="007C076E"/>
    <w:rsid w:val="007C0A2B"/>
    <w:rsid w:val="007C1A34"/>
    <w:rsid w:val="007C75A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96CC5"/>
    <w:rsid w:val="008A5BA4"/>
    <w:rsid w:val="008B0F32"/>
    <w:rsid w:val="008B2924"/>
    <w:rsid w:val="008B2B0E"/>
    <w:rsid w:val="008B3383"/>
    <w:rsid w:val="008C29D0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01418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44BE"/>
    <w:rsid w:val="00965198"/>
    <w:rsid w:val="0097546E"/>
    <w:rsid w:val="00975DF0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31BC"/>
    <w:rsid w:val="009A34AE"/>
    <w:rsid w:val="009A485F"/>
    <w:rsid w:val="009A4970"/>
    <w:rsid w:val="009A5859"/>
    <w:rsid w:val="009C2487"/>
    <w:rsid w:val="009C2509"/>
    <w:rsid w:val="009C26C3"/>
    <w:rsid w:val="009D0AEE"/>
    <w:rsid w:val="009D12D4"/>
    <w:rsid w:val="009D356D"/>
    <w:rsid w:val="009D54B0"/>
    <w:rsid w:val="009D6E77"/>
    <w:rsid w:val="009F27DA"/>
    <w:rsid w:val="009F3713"/>
    <w:rsid w:val="009F5172"/>
    <w:rsid w:val="00A0226B"/>
    <w:rsid w:val="00A0228B"/>
    <w:rsid w:val="00A065E8"/>
    <w:rsid w:val="00A07722"/>
    <w:rsid w:val="00A16872"/>
    <w:rsid w:val="00A16B30"/>
    <w:rsid w:val="00A2078F"/>
    <w:rsid w:val="00A22E9C"/>
    <w:rsid w:val="00A24E98"/>
    <w:rsid w:val="00A26017"/>
    <w:rsid w:val="00A26C13"/>
    <w:rsid w:val="00A31868"/>
    <w:rsid w:val="00A33DAA"/>
    <w:rsid w:val="00A343CD"/>
    <w:rsid w:val="00A36AFD"/>
    <w:rsid w:val="00A36E79"/>
    <w:rsid w:val="00A44C39"/>
    <w:rsid w:val="00A46DE6"/>
    <w:rsid w:val="00A52FE0"/>
    <w:rsid w:val="00A537B4"/>
    <w:rsid w:val="00A604A2"/>
    <w:rsid w:val="00A63931"/>
    <w:rsid w:val="00A6489B"/>
    <w:rsid w:val="00A66C87"/>
    <w:rsid w:val="00A66F95"/>
    <w:rsid w:val="00A706AB"/>
    <w:rsid w:val="00A7701C"/>
    <w:rsid w:val="00A778EF"/>
    <w:rsid w:val="00A81C53"/>
    <w:rsid w:val="00A8416A"/>
    <w:rsid w:val="00A861C7"/>
    <w:rsid w:val="00A86320"/>
    <w:rsid w:val="00A8690E"/>
    <w:rsid w:val="00A95687"/>
    <w:rsid w:val="00AA1E59"/>
    <w:rsid w:val="00AA4045"/>
    <w:rsid w:val="00AA6E39"/>
    <w:rsid w:val="00AC395B"/>
    <w:rsid w:val="00AC4686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699A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733A"/>
    <w:rsid w:val="00B57488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30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32B4"/>
    <w:rsid w:val="00C86836"/>
    <w:rsid w:val="00C93BAE"/>
    <w:rsid w:val="00C940B6"/>
    <w:rsid w:val="00C95CAC"/>
    <w:rsid w:val="00C95D94"/>
    <w:rsid w:val="00C97A7E"/>
    <w:rsid w:val="00CA0116"/>
    <w:rsid w:val="00CB04CF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35A1"/>
    <w:rsid w:val="00DF4E7D"/>
    <w:rsid w:val="00DF6B69"/>
    <w:rsid w:val="00DF720B"/>
    <w:rsid w:val="00DF79DC"/>
    <w:rsid w:val="00E00E66"/>
    <w:rsid w:val="00E021A5"/>
    <w:rsid w:val="00E06BE0"/>
    <w:rsid w:val="00E10708"/>
    <w:rsid w:val="00E162B9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403ED"/>
    <w:rsid w:val="00E50A0A"/>
    <w:rsid w:val="00E51113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868ED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355C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78C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035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paragraph" w:styleId="ac">
    <w:name w:val="Normal (Web)"/>
    <w:basedOn w:val="a"/>
    <w:uiPriority w:val="99"/>
    <w:semiHidden/>
    <w:unhideWhenUsed/>
    <w:rsid w:val="008C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2006-44CA-4773-A6A2-182AA93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Анна</cp:lastModifiedBy>
  <cp:revision>208</cp:revision>
  <cp:lastPrinted>2021-12-17T03:39:00Z</cp:lastPrinted>
  <dcterms:created xsi:type="dcterms:W3CDTF">2021-06-09T07:20:00Z</dcterms:created>
  <dcterms:modified xsi:type="dcterms:W3CDTF">2021-12-23T09:13:00Z</dcterms:modified>
</cp:coreProperties>
</file>