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0A" w:rsidRDefault="00F2120A" w:rsidP="00F2120A">
      <w:pPr>
        <w:pStyle w:val="a6"/>
        <w:tabs>
          <w:tab w:val="left" w:pos="1200"/>
          <w:tab w:val="center" w:pos="4961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«Подгорнское сельское поселение»</w:t>
      </w:r>
    </w:p>
    <w:p w:rsidR="00F2120A" w:rsidRDefault="00F2120A" w:rsidP="00F2120A">
      <w:pPr>
        <w:pStyle w:val="a6"/>
        <w:suppressAutoHyphens/>
        <w:rPr>
          <w:sz w:val="24"/>
          <w:szCs w:val="24"/>
        </w:rPr>
      </w:pPr>
    </w:p>
    <w:p w:rsidR="00562DF1" w:rsidRDefault="00562DF1" w:rsidP="00F2120A">
      <w:pPr>
        <w:pStyle w:val="a6"/>
        <w:suppressAutoHyphens/>
        <w:rPr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2120A" w:rsidRDefault="00F2120A" w:rsidP="00F2120A">
      <w:pPr>
        <w:suppressAutoHyphens/>
        <w:jc w:val="center"/>
        <w:rPr>
          <w:b/>
        </w:rPr>
      </w:pPr>
    </w:p>
    <w:p w:rsidR="006F6887" w:rsidRDefault="006F6887" w:rsidP="00F2120A">
      <w:pPr>
        <w:suppressAutoHyphens/>
        <w:jc w:val="center"/>
        <w:rPr>
          <w:b/>
        </w:rPr>
      </w:pPr>
    </w:p>
    <w:p w:rsidR="00F2120A" w:rsidRDefault="00F2120A" w:rsidP="00F2120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</w:t>
      </w:r>
      <w:r w:rsidR="00F620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Подгорное                                                       № 00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a3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33FE7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решение Совета 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от 15.06.2022 № 14 </w:t>
      </w:r>
    </w:p>
    <w:p w:rsidR="00F2120A" w:rsidRDefault="00F2120A" w:rsidP="00F2120A">
      <w:pPr>
        <w:pStyle w:val="a3"/>
        <w:tabs>
          <w:tab w:val="left" w:pos="708"/>
        </w:tabs>
        <w:suppressAutoHyphens/>
        <w:jc w:val="center"/>
      </w:pPr>
    </w:p>
    <w:p w:rsidR="006F6887" w:rsidRDefault="006F6887" w:rsidP="00F2120A">
      <w:pPr>
        <w:pStyle w:val="a3"/>
        <w:tabs>
          <w:tab w:val="left" w:pos="708"/>
        </w:tabs>
        <w:suppressAutoHyphens/>
        <w:jc w:val="center"/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5107C9">
        <w:rPr>
          <w:rFonts w:ascii="Times New Roman" w:hAnsi="Times New Roman" w:cs="Times New Roman"/>
          <w:sz w:val="24"/>
          <w:szCs w:val="24"/>
        </w:rPr>
        <w:t xml:space="preserve">пунктом 3.3. </w:t>
      </w:r>
      <w:r w:rsidR="006F6887">
        <w:rPr>
          <w:rFonts w:ascii="Times New Roman" w:hAnsi="Times New Roman" w:cs="Times New Roman"/>
          <w:sz w:val="24"/>
          <w:szCs w:val="24"/>
        </w:rPr>
        <w:t>стать</w:t>
      </w:r>
      <w:r w:rsidR="005107C9">
        <w:rPr>
          <w:rFonts w:ascii="Times New Roman" w:hAnsi="Times New Roman" w:cs="Times New Roman"/>
          <w:sz w:val="24"/>
          <w:szCs w:val="24"/>
        </w:rPr>
        <w:t>и</w:t>
      </w:r>
      <w:r w:rsidR="006F6887">
        <w:rPr>
          <w:rFonts w:ascii="Times New Roman" w:hAnsi="Times New Roman" w:cs="Times New Roman"/>
          <w:sz w:val="24"/>
          <w:szCs w:val="24"/>
        </w:rPr>
        <w:t xml:space="preserve"> 33 </w:t>
      </w:r>
      <w:r>
        <w:rPr>
          <w:rFonts w:ascii="Times New Roman" w:hAnsi="Times New Roman" w:cs="Times New Roman"/>
          <w:sz w:val="24"/>
          <w:szCs w:val="24"/>
        </w:rPr>
        <w:t>Градостроительн</w:t>
      </w:r>
      <w:r w:rsidR="006F688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F68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поселение»,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Подгорнского сельского поселения РЕШИЛ: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в решение Совета Подгорнского сельского поселения от 15.06.2022 № 14 «Об утверждении Правил землепользования и застройки муниципального образования «Подгорнское сельское поселение»» следующие изменения: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B36CC">
        <w:rPr>
          <w:rFonts w:ascii="Times New Roman" w:hAnsi="Times New Roman" w:cs="Times New Roman"/>
          <w:b/>
          <w:sz w:val="24"/>
          <w:szCs w:val="24"/>
        </w:rPr>
        <w:t xml:space="preserve">статью 28 Зона промышленной и производственной территории (П1, П3, П6, П8, </w:t>
      </w:r>
      <w:proofErr w:type="spellStart"/>
      <w:r w:rsidRPr="00BB36CC">
        <w:rPr>
          <w:rFonts w:ascii="Times New Roman" w:hAnsi="Times New Roman" w:cs="Times New Roman"/>
          <w:b/>
          <w:sz w:val="24"/>
          <w:szCs w:val="24"/>
        </w:rPr>
        <w:t>Пв</w:t>
      </w:r>
      <w:proofErr w:type="spellEnd"/>
      <w:r w:rsidRPr="00BB36C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2120A" w:rsidRDefault="00F2120A" w:rsidP="00F2120A">
      <w:pPr>
        <w:pStyle w:val="ConsPlusNormal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BE5">
        <w:rPr>
          <w:rFonts w:ascii="Times New Roman" w:hAnsi="Times New Roman" w:cs="Times New Roman"/>
          <w:sz w:val="24"/>
          <w:szCs w:val="24"/>
        </w:rPr>
        <w:t>Зона предназначена для размещения производственных объектов. Перечень видов разрешенного использования земельных участков и объектов капитального строительства в зоне производственных объектов.</w:t>
      </w:r>
    </w:p>
    <w:p w:rsidR="00F2120A" w:rsidRPr="00841BE5" w:rsidRDefault="00F2120A" w:rsidP="00F2120A">
      <w:pPr>
        <w:pStyle w:val="ConsPlusNormal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3825"/>
        <w:gridCol w:w="5531"/>
      </w:tblGrid>
      <w:tr w:rsidR="00F2120A" w:rsidRPr="00DF46B9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земельных участков и объектов капитального строительства  </w:t>
            </w:r>
          </w:p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Росреестра</w:t>
            </w:r>
            <w:proofErr w:type="spellEnd"/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№П/0412</w:t>
            </w:r>
            <w:r w:rsidRPr="00DF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10.11.2020г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актуальной редакции)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Хранение автотранспорта (2.7.1)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</w:t>
            </w: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машино</w:t>
            </w:r>
            <w:proofErr w:type="spellEnd"/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104104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кодами 2.7.2</w:t>
              </w:r>
            </w:hyperlink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hyperlink w:anchor="Par332" w:tooltip="4.9" w:history="1">
              <w:r w:rsidRPr="00104104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4.9</w:t>
              </w:r>
            </w:hyperlink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D38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Default="00F2120A" w:rsidP="00CF4BD3">
            <w:pPr>
              <w:outlineLvl w:val="1"/>
            </w:pPr>
            <w:r w:rsidRPr="00453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коммунальных услуг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(3.1.1)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535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Общежития (3.2.4)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кодом 4.7</w:t>
              </w:r>
            </w:hyperlink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F2120A" w:rsidRDefault="00F2120A" w:rsidP="00F2120A">
            <w:pPr>
              <w:widowControl/>
              <w:autoSpaceDE/>
              <w:autoSpaceDN/>
              <w:adjustRightInd/>
              <w:spacing w:after="30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12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Среднее и высшее профессиональное образование (3.5.2)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F2120A" w:rsidRDefault="00F2120A" w:rsidP="00F2120A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l211"/>
            <w:bookmarkEnd w:id="1"/>
            <w:r w:rsidRPr="00F2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научных испытаний (3.9.3)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Служебные гаражи (4.9)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кодами 3.0</w:t>
              </w:r>
            </w:hyperlink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hyperlink w:anchor="Par293" w:tooltip="4.0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4.0</w:t>
              </w:r>
            </w:hyperlink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F2120A" w:rsidRPr="00E14BA5" w:rsidTr="006F6887">
        <w:trPr>
          <w:trHeight w:val="696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деятельность (6.0)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Недропользование (6.1)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Тяжелая промышленность (6.2)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F2120A" w:rsidRPr="00E14BA5" w:rsidTr="006F6887">
        <w:trPr>
          <w:trHeight w:val="1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Автомобилестроительная промышленность (6.2.1)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промышленность (6.3)</w:t>
            </w:r>
          </w:p>
          <w:p w:rsidR="00F2120A" w:rsidRPr="0056014E" w:rsidRDefault="00F2120A" w:rsidP="00CF4BD3">
            <w:pPr>
              <w:ind w:firstLine="708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фарфоро</w:t>
            </w:r>
            <w:proofErr w:type="spellEnd"/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-фаянсовой, электронной промышленности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Фармацевтическая промышленность (6.3.1)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фармацевтического </w:t>
            </w: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Пищевая промышленность (6.4)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Нефтехимическая промышленность (6.5)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F2120A" w:rsidRPr="00E14BA5" w:rsidTr="006F6887">
        <w:trPr>
          <w:trHeight w:val="2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Строительная промышленность (6.6)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F2120A" w:rsidRPr="00E14BA5" w:rsidTr="006F6887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 (6.7)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золоотвалов</w:t>
            </w:r>
            <w:proofErr w:type="spellEnd"/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гидротехнических сооружений);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F2120A" w:rsidRPr="00E14BA5" w:rsidTr="006F6887">
        <w:trPr>
          <w:trHeight w:val="99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 (6.8)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F2120A" w:rsidRPr="00E14BA5" w:rsidTr="006F6887">
        <w:trPr>
          <w:trHeight w:val="27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Склады (6.9)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</w:t>
            </w: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продовольственные склады, за исключением железнодорожных перевалочных складов</w:t>
            </w:r>
          </w:p>
        </w:tc>
      </w:tr>
      <w:tr w:rsidR="00F2120A" w:rsidRPr="00E14BA5" w:rsidTr="006F6887">
        <w:trPr>
          <w:trHeight w:val="27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Складские площадки (6.9.1)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Целлюлозно-бумажная промышленность (6.11)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Научно-производственная деятельность (6.12)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технологических, промышленных, агропромышленных парков, бизнес-инкубаторов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Заготовка древесины (10.1)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Лесные плантации (10.2)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Заготовка лесных ресурсов (10.3)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Заготовка живицы, сбор </w:t>
            </w:r>
            <w:proofErr w:type="spellStart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недревесных</w:t>
            </w:r>
            <w:proofErr w:type="spellEnd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Специальное пользование водными объектами (11.2)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</w:t>
            </w: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сооружений, судопропускных сооружений, </w:t>
            </w:r>
            <w:proofErr w:type="spellStart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рыбозащитных</w:t>
            </w:r>
            <w:proofErr w:type="spellEnd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 рыбопропускных сооружений, берегозащитных сооружений)</w:t>
            </w:r>
          </w:p>
        </w:tc>
      </w:tr>
      <w:tr w:rsidR="00F2120A" w:rsidRPr="00DF46B9" w:rsidTr="006F6887">
        <w:trPr>
          <w:trHeight w:val="3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F2120A" w:rsidRPr="00E14BA5" w:rsidTr="006F6887">
        <w:trPr>
          <w:trHeight w:val="98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F2120A" w:rsidRPr="00E14BA5" w:rsidTr="006F6887">
        <w:trPr>
          <w:trHeight w:val="84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Причалы для маломерных судов (5.4)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</w:tbl>
    <w:p w:rsidR="00F2120A" w:rsidRPr="00CB5057" w:rsidRDefault="00F2120A" w:rsidP="00F2120A">
      <w:pPr>
        <w:rPr>
          <w:b/>
          <w:i/>
        </w:rPr>
      </w:pPr>
    </w:p>
    <w:p w:rsidR="00F2120A" w:rsidRDefault="00F2120A" w:rsidP="00F2120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5F0C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П1, П3, П8, </w:t>
      </w:r>
      <w:proofErr w:type="spellStart"/>
      <w:r w:rsidRPr="00B35F0C">
        <w:rPr>
          <w:rFonts w:ascii="Times New Roman" w:hAnsi="Times New Roman" w:cs="Times New Roman"/>
          <w:b/>
          <w:sz w:val="24"/>
          <w:szCs w:val="24"/>
        </w:rPr>
        <w:t>Пв</w:t>
      </w:r>
      <w:proofErr w:type="spellEnd"/>
      <w:r w:rsidRPr="00B35F0C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F2120A" w:rsidRDefault="00F2120A" w:rsidP="006F688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после его официального опубликования.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Контроль за исполнением настоящего решения возложить на контрольно-правовой комитет Совета Подгорнского сельского поселения.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62066" w:rsidRDefault="00F62066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Подгорнского                                                                  </w:t>
      </w:r>
      <w:r w:rsidR="006F6887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6F6887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F68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F6887">
        <w:rPr>
          <w:rFonts w:ascii="Times New Roman" w:hAnsi="Times New Roman" w:cs="Times New Roman"/>
          <w:sz w:val="24"/>
          <w:szCs w:val="24"/>
        </w:rPr>
        <w:t>С.С. Пантюхин</w:t>
      </w:r>
    </w:p>
    <w:p w:rsidR="006A32F8" w:rsidRDefault="006A32F8"/>
    <w:sectPr w:rsidR="006A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65"/>
    <w:rsid w:val="002A1BFA"/>
    <w:rsid w:val="00360665"/>
    <w:rsid w:val="005107C9"/>
    <w:rsid w:val="00562DF1"/>
    <w:rsid w:val="006A32F8"/>
    <w:rsid w:val="006F6887"/>
    <w:rsid w:val="00833FE7"/>
    <w:rsid w:val="00BB36CC"/>
    <w:rsid w:val="00F2120A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37E4"/>
  <w15:chartTrackingRefBased/>
  <w15:docId w15:val="{91EBDBAE-6196-4BF0-A095-8A068D6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212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212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Заголовок Знак"/>
    <w:aliases w:val="Название Знак"/>
    <w:basedOn w:val="a0"/>
    <w:link w:val="a6"/>
    <w:locked/>
    <w:rsid w:val="00F212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Title"/>
    <w:aliases w:val="Название"/>
    <w:basedOn w:val="a"/>
    <w:link w:val="a5"/>
    <w:qFormat/>
    <w:rsid w:val="00F2120A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1">
    <w:name w:val="Заголовок Знак1"/>
    <w:basedOn w:val="a0"/>
    <w:uiPriority w:val="10"/>
    <w:rsid w:val="00F212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rmal">
    <w:name w:val="ConsPlusNormal Знак"/>
    <w:link w:val="ConsPlusNormal0"/>
    <w:locked/>
    <w:rsid w:val="00F2120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21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2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7EBDADEFCCA853C02165F6BD8177B45D4CCE423FC1D9BC4C611F35808A93D8474420BA15AF9CCCDE29AB1C2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2023-02-15T09:21:00Z</dcterms:created>
  <dcterms:modified xsi:type="dcterms:W3CDTF">2023-02-17T04:57:00Z</dcterms:modified>
</cp:coreProperties>
</file>